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0C6C5" w14:textId="77777777" w:rsidR="002B3C78" w:rsidRDefault="002B3C78" w:rsidP="002B3C78">
      <w:pPr>
        <w:pStyle w:val="Title"/>
        <w:jc w:val="center"/>
      </w:pPr>
      <w:r>
        <w:rPr>
          <w:noProof/>
        </w:rPr>
        <w:drawing>
          <wp:inline distT="114300" distB="114300" distL="114300" distR="114300" wp14:anchorId="18878EBD" wp14:editId="237B9A91">
            <wp:extent cx="947738" cy="947738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57E55F1A" wp14:editId="157E4BA7">
            <wp:extent cx="738188" cy="99429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8188" cy="994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29290C07" wp14:editId="26BF3186">
            <wp:extent cx="938213" cy="93821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213" cy="938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802ABB" w14:textId="77777777" w:rsidR="002B3C78" w:rsidRDefault="002B3C78" w:rsidP="002B3C78">
      <w:pPr>
        <w:pStyle w:val="Title"/>
        <w:jc w:val="center"/>
      </w:pPr>
      <w:bookmarkStart w:id="0" w:name="_heading=h.5rae1nnbk184" w:colFirst="0" w:colLast="0"/>
      <w:bookmarkEnd w:id="0"/>
      <w:r>
        <w:rPr>
          <w:noProof/>
        </w:rPr>
        <w:drawing>
          <wp:inline distT="0" distB="0" distL="0" distR="0" wp14:anchorId="0FDBB860" wp14:editId="7B3CF46B">
            <wp:extent cx="4180006" cy="459802"/>
            <wp:effectExtent l="0" t="0" r="0" b="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0006" cy="459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F40DEB" w14:textId="77777777" w:rsidR="002B3C78" w:rsidRDefault="002B3C78" w:rsidP="002B3C78"/>
    <w:p w14:paraId="39DC8135" w14:textId="77777777" w:rsidR="001E3CDB" w:rsidRDefault="002B3C78" w:rsidP="002B3C78">
      <w:pPr>
        <w:pStyle w:val="Title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COVID-19 Operational Risk Mitigation Plan</w:t>
      </w:r>
    </w:p>
    <w:p w14:paraId="532DA211" w14:textId="5F397223" w:rsidR="00C727DB" w:rsidRPr="002B3C78" w:rsidRDefault="00C727DB" w:rsidP="002B3C78">
      <w:pPr>
        <w:pStyle w:val="Title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B3C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Engineering Controls</w:t>
      </w:r>
    </w:p>
    <w:p w14:paraId="180C360C" w14:textId="77777777" w:rsidR="00C727DB" w:rsidRPr="00B91AA7" w:rsidRDefault="00C727DB" w:rsidP="00C727DB">
      <w:pPr>
        <w:spacing w:before="4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R</w:t>
      </w:r>
      <w:r w:rsidRPr="007347AB">
        <w:rPr>
          <w:rFonts w:ascii="Times New Roman" w:eastAsia="Times New Roman" w:hAnsi="Times New Roman" w:cs="Times New Roman"/>
          <w:b/>
          <w:bCs/>
          <w:i/>
          <w:iCs/>
        </w:rPr>
        <w:t>econfigure or remodel labs, office spaces, reception &amp; waiting areas, classrooms and common spaces</w:t>
      </w:r>
      <w:r w:rsidRPr="00B91AA7">
        <w:rPr>
          <w:rFonts w:ascii="Times New Roman" w:eastAsia="Times New Roman" w:hAnsi="Times New Roman" w:cs="Times New Roman"/>
          <w:color w:val="2F5496"/>
          <w:sz w:val="26"/>
          <w:szCs w:val="26"/>
        </w:rPr>
        <w:t>.</w:t>
      </w:r>
    </w:p>
    <w:p w14:paraId="27823032" w14:textId="77777777" w:rsidR="00C727DB" w:rsidRPr="00B91AA7" w:rsidRDefault="00C727DB" w:rsidP="009C0014">
      <w:pPr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91AA7">
        <w:rPr>
          <w:rFonts w:ascii="Times New Roman" w:eastAsia="Times New Roman" w:hAnsi="Times New Roman" w:cs="Times New Roman"/>
          <w:color w:val="000000"/>
        </w:rPr>
        <w:t xml:space="preserve">Classrooms will follow the 8’ </w:t>
      </w:r>
      <w:r>
        <w:rPr>
          <w:rFonts w:ascii="Times New Roman" w:eastAsia="Times New Roman" w:hAnsi="Times New Roman" w:cs="Times New Roman"/>
          <w:color w:val="000000"/>
        </w:rPr>
        <w:t>octagonal spacing requirements to ensure proper social distancing.</w:t>
      </w:r>
      <w:r w:rsidRPr="00B91AA7">
        <w:rPr>
          <w:rFonts w:ascii="Times New Roman" w:eastAsia="Times New Roman" w:hAnsi="Times New Roman" w:cs="Times New Roman"/>
          <w:color w:val="000000"/>
        </w:rPr>
        <w:t> </w:t>
      </w:r>
    </w:p>
    <w:p w14:paraId="487FACBB" w14:textId="77777777" w:rsidR="00C727DB" w:rsidRPr="00B91AA7" w:rsidRDefault="00C727DB" w:rsidP="009C0014">
      <w:pPr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91AA7">
        <w:rPr>
          <w:rFonts w:ascii="Times New Roman" w:eastAsia="Times New Roman" w:hAnsi="Times New Roman" w:cs="Times New Roman"/>
          <w:color w:val="000000"/>
        </w:rPr>
        <w:t>If possible, remove enough seating from reception, waiting and common areas to promote proper distancing.  If removal of the seating is not possible, install signage designating seats to be occupied/unoccupied.</w:t>
      </w:r>
    </w:p>
    <w:p w14:paraId="65124F1C" w14:textId="77777777" w:rsidR="00C727DB" w:rsidRPr="00B91AA7" w:rsidRDefault="00C727DB" w:rsidP="009C0014">
      <w:pPr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91AA7">
        <w:rPr>
          <w:rFonts w:ascii="Times New Roman" w:eastAsia="Times New Roman" w:hAnsi="Times New Roman" w:cs="Times New Roman"/>
          <w:color w:val="000000"/>
        </w:rPr>
        <w:t>Seating within office spaces housing multiple occupants should be configured to meet the 8’ octagonal spacing requirements.</w:t>
      </w:r>
    </w:p>
    <w:p w14:paraId="493DE1D0" w14:textId="77777777" w:rsidR="00C727DB" w:rsidRPr="007347AB" w:rsidRDefault="00C727DB" w:rsidP="00C727DB">
      <w:pPr>
        <w:spacing w:before="40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</w:rPr>
      </w:pPr>
      <w:r w:rsidRPr="007347AB">
        <w:rPr>
          <w:rFonts w:ascii="Times New Roman" w:eastAsia="Times New Roman" w:hAnsi="Times New Roman" w:cs="Times New Roman"/>
          <w:b/>
          <w:bCs/>
          <w:i/>
          <w:iCs/>
        </w:rPr>
        <w:t>Post signage for traffic flow and occupancy</w:t>
      </w:r>
    </w:p>
    <w:p w14:paraId="660CC433" w14:textId="77777777" w:rsidR="00C727DB" w:rsidRPr="00B91AA7" w:rsidRDefault="00C727DB" w:rsidP="009C0014">
      <w:pPr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91AA7">
        <w:rPr>
          <w:rFonts w:ascii="Times New Roman" w:eastAsia="Times New Roman" w:hAnsi="Times New Roman" w:cs="Times New Roman"/>
          <w:color w:val="000000"/>
        </w:rPr>
        <w:t xml:space="preserve">Signs </w:t>
      </w:r>
      <w:r>
        <w:rPr>
          <w:rFonts w:ascii="Times New Roman" w:eastAsia="Times New Roman" w:hAnsi="Times New Roman" w:cs="Times New Roman"/>
          <w:color w:val="000000"/>
        </w:rPr>
        <w:t>will be placed</w:t>
      </w:r>
      <w:r w:rsidRPr="00B91AA7">
        <w:rPr>
          <w:rFonts w:ascii="Times New Roman" w:eastAsia="Times New Roman" w:hAnsi="Times New Roman" w:cs="Times New Roman"/>
          <w:color w:val="000000"/>
        </w:rPr>
        <w:t xml:space="preserve"> to guide occupants as they enter, travel through, occupy and exit buildings.  Common areas such as entry doors, corridors, lobbies and elevators </w:t>
      </w:r>
      <w:r>
        <w:rPr>
          <w:rFonts w:ascii="Times New Roman" w:eastAsia="Times New Roman" w:hAnsi="Times New Roman" w:cs="Times New Roman"/>
          <w:color w:val="000000"/>
        </w:rPr>
        <w:t>will</w:t>
      </w:r>
      <w:r w:rsidRPr="00B91AA7">
        <w:rPr>
          <w:rFonts w:ascii="Times New Roman" w:eastAsia="Times New Roman" w:hAnsi="Times New Roman" w:cs="Times New Roman"/>
          <w:color w:val="000000"/>
        </w:rPr>
        <w:t xml:space="preserve"> have signs with reminders of safe practices.</w:t>
      </w:r>
    </w:p>
    <w:p w14:paraId="12CFB7FD" w14:textId="77777777" w:rsidR="00C727DB" w:rsidRPr="00B91AA7" w:rsidRDefault="00C727DB" w:rsidP="009C0014">
      <w:pPr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91AA7">
        <w:rPr>
          <w:rFonts w:ascii="Times New Roman" w:eastAsia="Times New Roman" w:hAnsi="Times New Roman" w:cs="Times New Roman"/>
          <w:color w:val="000000"/>
        </w:rPr>
        <w:t>Building occupants moving through corridors should stay to the right and avoid congregating.</w:t>
      </w:r>
    </w:p>
    <w:p w14:paraId="2A5A047B" w14:textId="77777777" w:rsidR="00C727DB" w:rsidRPr="00464A33" w:rsidRDefault="00C727DB" w:rsidP="00C727DB">
      <w:pPr>
        <w:rPr>
          <w:rFonts w:ascii="Times New Roman" w:eastAsia="Times New Roman" w:hAnsi="Times New Roman" w:cs="Times New Roman"/>
          <w:b/>
          <w:bCs/>
          <w:i/>
          <w:iCs/>
          <w:color w:val="2F5496"/>
        </w:rPr>
      </w:pPr>
      <w:r w:rsidRPr="00464A33">
        <w:rPr>
          <w:rFonts w:ascii="Times New Roman" w:eastAsia="Times New Roman" w:hAnsi="Times New Roman" w:cs="Times New Roman"/>
          <w:b/>
          <w:bCs/>
          <w:i/>
          <w:iCs/>
        </w:rPr>
        <w:t>Install Plexiglas barriers where appropriate</w:t>
      </w:r>
    </w:p>
    <w:p w14:paraId="5A6AA6A4" w14:textId="77777777" w:rsidR="00C727DB" w:rsidRPr="00AE2341" w:rsidRDefault="00C727DB" w:rsidP="00231AEA">
      <w:pPr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E2341">
        <w:rPr>
          <w:rFonts w:ascii="Times New Roman" w:eastAsia="Times New Roman" w:hAnsi="Times New Roman" w:cs="Times New Roman"/>
          <w:color w:val="000000"/>
        </w:rPr>
        <w:t>Barriers will be installed at customer service desks and points of sales to minimize contact.</w:t>
      </w:r>
      <w:r w:rsidR="00AE2341" w:rsidRPr="00AE2341">
        <w:rPr>
          <w:rFonts w:ascii="Times New Roman" w:eastAsia="Times New Roman" w:hAnsi="Times New Roman" w:cs="Times New Roman"/>
          <w:color w:val="000000"/>
        </w:rPr>
        <w:t xml:space="preserve">  </w:t>
      </w:r>
      <w:r w:rsidRPr="00AE2341">
        <w:rPr>
          <w:rFonts w:ascii="Times New Roman" w:eastAsia="Times New Roman" w:hAnsi="Times New Roman" w:cs="Times New Roman"/>
          <w:color w:val="000000"/>
        </w:rPr>
        <w:t>Campus has furnished and installed barriers at locations within the Engineering Center, ATLAS, Aerospace building and JSCBB. </w:t>
      </w:r>
    </w:p>
    <w:p w14:paraId="4887D81D" w14:textId="77777777" w:rsidR="00C727DB" w:rsidRPr="00B91AA7" w:rsidRDefault="00C727DB" w:rsidP="009C0014">
      <w:pPr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91AA7">
        <w:rPr>
          <w:rFonts w:ascii="Times New Roman" w:eastAsia="Times New Roman" w:hAnsi="Times New Roman" w:cs="Times New Roman"/>
          <w:color w:val="000000"/>
        </w:rPr>
        <w:t>Barriers should be cleaned and maintained by the primary users.</w:t>
      </w:r>
    </w:p>
    <w:p w14:paraId="64F21F02" w14:textId="77777777" w:rsidR="00C727DB" w:rsidRPr="00464A33" w:rsidRDefault="00C727DB" w:rsidP="00C727DB">
      <w:pPr>
        <w:spacing w:before="40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</w:rPr>
      </w:pPr>
      <w:r w:rsidRPr="00464A33">
        <w:rPr>
          <w:rFonts w:ascii="Times New Roman" w:eastAsia="Times New Roman" w:hAnsi="Times New Roman" w:cs="Times New Roman"/>
          <w:b/>
          <w:bCs/>
          <w:i/>
          <w:iCs/>
        </w:rPr>
        <w:t>Identify areas that can remain closed off or partitioned</w:t>
      </w:r>
    </w:p>
    <w:p w14:paraId="379C7A5A" w14:textId="77777777" w:rsidR="00C727DB" w:rsidRDefault="00C727DB" w:rsidP="009C0014">
      <w:pPr>
        <w:numPr>
          <w:ilvl w:val="0"/>
          <w:numId w:val="19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91AA7">
        <w:rPr>
          <w:rFonts w:ascii="Times New Roman" w:eastAsia="Times New Roman" w:hAnsi="Times New Roman" w:cs="Times New Roman"/>
          <w:color w:val="000000"/>
        </w:rPr>
        <w:t>Gravity’s south café (near the ECCR wing) will remain closed during Fall 2020.  Other cafes will be open, serving grab-and-go items.</w:t>
      </w:r>
    </w:p>
    <w:p w14:paraId="0F5F243C" w14:textId="77777777" w:rsidR="00C727DB" w:rsidRPr="00A52D0C" w:rsidRDefault="00A76246" w:rsidP="00C727DB">
      <w:pPr>
        <w:spacing w:before="40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Manage p</w:t>
      </w:r>
      <w:r w:rsidR="00C727DB" w:rsidRPr="00A52D0C">
        <w:rPr>
          <w:rFonts w:ascii="Times New Roman" w:eastAsia="Times New Roman" w:hAnsi="Times New Roman" w:cs="Times New Roman"/>
          <w:b/>
          <w:bCs/>
          <w:i/>
          <w:iCs/>
        </w:rPr>
        <w:t>edestrian t</w:t>
      </w:r>
      <w:r w:rsidR="00C727DB" w:rsidRPr="00A52D0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raffic flow into and out of facilities/buildings to reduce risk</w:t>
      </w:r>
    </w:p>
    <w:p w14:paraId="4FFDC0DA" w14:textId="77777777" w:rsidR="00C727DB" w:rsidRPr="00AE2341" w:rsidRDefault="00C727DB" w:rsidP="006F57A9">
      <w:pPr>
        <w:pStyle w:val="ListParagraph"/>
        <w:numPr>
          <w:ilvl w:val="0"/>
          <w:numId w:val="19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E2341">
        <w:rPr>
          <w:rFonts w:ascii="Times New Roman" w:eastAsia="Times New Roman" w:hAnsi="Times New Roman" w:cs="Times New Roman"/>
          <w:color w:val="000000"/>
        </w:rPr>
        <w:t>Circulation signage will be furnished by Campus. Building managers should work with the project manager to arrange for labor to install the signage.  </w:t>
      </w:r>
    </w:p>
    <w:p w14:paraId="21B8B74A" w14:textId="77777777" w:rsidR="00C727DB" w:rsidRPr="00464A33" w:rsidRDefault="00C727DB" w:rsidP="00C727DB">
      <w:pPr>
        <w:spacing w:before="40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</w:rPr>
      </w:pPr>
      <w:bookmarkStart w:id="1" w:name="_GoBack"/>
      <w:bookmarkEnd w:id="1"/>
      <w:r w:rsidRPr="00464A33">
        <w:rPr>
          <w:rFonts w:ascii="Times New Roman" w:eastAsia="Times New Roman" w:hAnsi="Times New Roman" w:cs="Times New Roman"/>
          <w:b/>
          <w:bCs/>
          <w:i/>
          <w:iCs/>
        </w:rPr>
        <w:t>Consider adapting larger spaces to create to work areas that accommodate physical distancing</w:t>
      </w:r>
    </w:p>
    <w:p w14:paraId="465C4A01" w14:textId="77777777" w:rsidR="00C727DB" w:rsidRDefault="00C727DB" w:rsidP="009C0014">
      <w:pPr>
        <w:numPr>
          <w:ilvl w:val="0"/>
          <w:numId w:val="2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91AA7">
        <w:rPr>
          <w:rFonts w:ascii="Times New Roman" w:eastAsia="Times New Roman" w:hAnsi="Times New Roman" w:cs="Times New Roman"/>
          <w:color w:val="000000"/>
        </w:rPr>
        <w:t>Larger s</w:t>
      </w:r>
      <w:r w:rsidR="00AE2341">
        <w:rPr>
          <w:rFonts w:ascii="Times New Roman" w:eastAsia="Times New Roman" w:hAnsi="Times New Roman" w:cs="Times New Roman"/>
          <w:color w:val="000000"/>
        </w:rPr>
        <w:t>paces designated as work areas will</w:t>
      </w:r>
      <w:r w:rsidRPr="00B91AA7">
        <w:rPr>
          <w:rFonts w:ascii="Times New Roman" w:eastAsia="Times New Roman" w:hAnsi="Times New Roman" w:cs="Times New Roman"/>
          <w:color w:val="000000"/>
        </w:rPr>
        <w:t xml:space="preserve"> be configured to allow the minimum 8’ octagonal spacing.  Consult with your designated Facilities Management project manager for assistance.</w:t>
      </w:r>
    </w:p>
    <w:p w14:paraId="5D8FE413" w14:textId="77777777" w:rsidR="009C0014" w:rsidRPr="00B91AA7" w:rsidRDefault="009C0014" w:rsidP="009C0014">
      <w:pPr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42D9354" w14:textId="77777777" w:rsidR="00C66E14" w:rsidRDefault="00C66E14"/>
    <w:sectPr w:rsidR="00C66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7199"/>
    <w:multiLevelType w:val="multilevel"/>
    <w:tmpl w:val="C23E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25718"/>
    <w:multiLevelType w:val="multilevel"/>
    <w:tmpl w:val="24AC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56880"/>
    <w:multiLevelType w:val="multilevel"/>
    <w:tmpl w:val="C23E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24E66"/>
    <w:multiLevelType w:val="multilevel"/>
    <w:tmpl w:val="900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32E7A"/>
    <w:multiLevelType w:val="multilevel"/>
    <w:tmpl w:val="7A24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92DC4"/>
    <w:multiLevelType w:val="multilevel"/>
    <w:tmpl w:val="C66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C4DEC"/>
    <w:multiLevelType w:val="multilevel"/>
    <w:tmpl w:val="900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A013E"/>
    <w:multiLevelType w:val="multilevel"/>
    <w:tmpl w:val="900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77F78"/>
    <w:multiLevelType w:val="multilevel"/>
    <w:tmpl w:val="E7EC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11D9F"/>
    <w:multiLevelType w:val="multilevel"/>
    <w:tmpl w:val="C23E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FB4495"/>
    <w:multiLevelType w:val="multilevel"/>
    <w:tmpl w:val="C23E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46230"/>
    <w:multiLevelType w:val="multilevel"/>
    <w:tmpl w:val="C23E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7165AD"/>
    <w:multiLevelType w:val="multilevel"/>
    <w:tmpl w:val="900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9B40F2"/>
    <w:multiLevelType w:val="multilevel"/>
    <w:tmpl w:val="9DF4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A5FD7"/>
    <w:multiLevelType w:val="multilevel"/>
    <w:tmpl w:val="900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47827"/>
    <w:multiLevelType w:val="multilevel"/>
    <w:tmpl w:val="900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A77CD8"/>
    <w:multiLevelType w:val="multilevel"/>
    <w:tmpl w:val="900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8D01E7"/>
    <w:multiLevelType w:val="multilevel"/>
    <w:tmpl w:val="C23E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F4E90"/>
    <w:multiLevelType w:val="multilevel"/>
    <w:tmpl w:val="5DC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F55272"/>
    <w:multiLevelType w:val="multilevel"/>
    <w:tmpl w:val="C23E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0238D2"/>
    <w:multiLevelType w:val="multilevel"/>
    <w:tmpl w:val="900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03293"/>
    <w:multiLevelType w:val="multilevel"/>
    <w:tmpl w:val="900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F70921"/>
    <w:multiLevelType w:val="multilevel"/>
    <w:tmpl w:val="C23E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77E0C"/>
    <w:multiLevelType w:val="hybridMultilevel"/>
    <w:tmpl w:val="C2D0548E"/>
    <w:lvl w:ilvl="0" w:tplc="3516E22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89E4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AC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F4E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CD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30A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A8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81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90E5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95940"/>
    <w:multiLevelType w:val="multilevel"/>
    <w:tmpl w:val="7FD0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upperLetter"/>
        <w:lvlText w:val="%1."/>
        <w:lvlJc w:val="left"/>
      </w:lvl>
    </w:lvlOverride>
  </w:num>
  <w:num w:numId="2">
    <w:abstractNumId w:val="8"/>
    <w:lvlOverride w:ilvl="0">
      <w:lvl w:ilvl="0">
        <w:numFmt w:val="upperLetter"/>
        <w:lvlText w:val="%1."/>
        <w:lvlJc w:val="left"/>
      </w:lvl>
    </w:lvlOverride>
  </w:num>
  <w:num w:numId="3">
    <w:abstractNumId w:val="8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4"/>
    <w:lvlOverride w:ilvl="0">
      <w:lvl w:ilvl="0">
        <w:numFmt w:val="upperLetter"/>
        <w:lvlText w:val="%1."/>
        <w:lvlJc w:val="left"/>
      </w:lvl>
    </w:lvlOverride>
  </w:num>
  <w:num w:numId="5">
    <w:abstractNumId w:val="18"/>
    <w:lvlOverride w:ilvl="0">
      <w:lvl w:ilvl="0">
        <w:numFmt w:val="upperLetter"/>
        <w:lvlText w:val="%1."/>
        <w:lvlJc w:val="left"/>
      </w:lvl>
    </w:lvlOverride>
  </w:num>
  <w:num w:numId="6">
    <w:abstractNumId w:val="23"/>
    <w:lvlOverride w:ilvl="0">
      <w:lvl w:ilvl="0" w:tplc="3516E22A">
        <w:numFmt w:val="upperLetter"/>
        <w:lvlText w:val="%1."/>
        <w:lvlJc w:val="left"/>
      </w:lvl>
    </w:lvlOverride>
    <w:lvlOverride w:ilvl="1">
      <w:lvl w:ilvl="1" w:tplc="F89E46CC">
        <w:numFmt w:val="lowerLetter"/>
        <w:lvlText w:val="%2."/>
        <w:lvlJc w:val="left"/>
      </w:lvl>
    </w:lvlOverride>
  </w:num>
  <w:num w:numId="7">
    <w:abstractNumId w:val="1"/>
    <w:lvlOverride w:ilvl="0">
      <w:lvl w:ilvl="0">
        <w:numFmt w:val="upperLetter"/>
        <w:lvlText w:val="%1."/>
        <w:lvlJc w:val="left"/>
      </w:lvl>
    </w:lvlOverride>
  </w:num>
  <w:num w:numId="8">
    <w:abstractNumId w:val="24"/>
  </w:num>
  <w:num w:numId="9">
    <w:abstractNumId w:val="13"/>
  </w:num>
  <w:num w:numId="10">
    <w:abstractNumId w:val="15"/>
  </w:num>
  <w:num w:numId="11">
    <w:abstractNumId w:val="14"/>
  </w:num>
  <w:num w:numId="12">
    <w:abstractNumId w:val="3"/>
  </w:num>
  <w:num w:numId="13">
    <w:abstractNumId w:val="16"/>
  </w:num>
  <w:num w:numId="14">
    <w:abstractNumId w:val="12"/>
  </w:num>
  <w:num w:numId="15">
    <w:abstractNumId w:val="21"/>
  </w:num>
  <w:num w:numId="16">
    <w:abstractNumId w:val="7"/>
  </w:num>
  <w:num w:numId="17">
    <w:abstractNumId w:val="20"/>
  </w:num>
  <w:num w:numId="18">
    <w:abstractNumId w:val="6"/>
  </w:num>
  <w:num w:numId="19">
    <w:abstractNumId w:val="22"/>
  </w:num>
  <w:num w:numId="20">
    <w:abstractNumId w:val="2"/>
  </w:num>
  <w:num w:numId="21">
    <w:abstractNumId w:val="10"/>
  </w:num>
  <w:num w:numId="22">
    <w:abstractNumId w:val="17"/>
  </w:num>
  <w:num w:numId="23">
    <w:abstractNumId w:val="11"/>
  </w:num>
  <w:num w:numId="24">
    <w:abstractNumId w:val="9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DB"/>
    <w:rsid w:val="001E3CDB"/>
    <w:rsid w:val="002B3C78"/>
    <w:rsid w:val="009C0014"/>
    <w:rsid w:val="00A76246"/>
    <w:rsid w:val="00AE2341"/>
    <w:rsid w:val="00C3597A"/>
    <w:rsid w:val="00C66E14"/>
    <w:rsid w:val="00C727DB"/>
    <w:rsid w:val="00C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AF1E"/>
  <w15:chartTrackingRefBased/>
  <w15:docId w15:val="{A955E771-DE14-4CE8-81F1-DF5CA3B5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7DB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0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B3C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31EF3FD5A4D4F80DA694727C6699E" ma:contentTypeVersion="13" ma:contentTypeDescription="Create a new document." ma:contentTypeScope="" ma:versionID="6ff0f6c5134da91cb9a137b453c63314">
  <xsd:schema xmlns:xsd="http://www.w3.org/2001/XMLSchema" xmlns:xs="http://www.w3.org/2001/XMLSchema" xmlns:p="http://schemas.microsoft.com/office/2006/metadata/properties" xmlns:ns3="ef98f742-ac96-4188-8f39-026094d8e259" xmlns:ns4="b3249e2f-6c2d-495a-be40-932eb31ab54f" targetNamespace="http://schemas.microsoft.com/office/2006/metadata/properties" ma:root="true" ma:fieldsID="fd6616f8d824c67b0d5902bcf12d90dd" ns3:_="" ns4:_="">
    <xsd:import namespace="ef98f742-ac96-4188-8f39-026094d8e259"/>
    <xsd:import namespace="b3249e2f-6c2d-495a-be40-932eb31ab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742-ac96-4188-8f39-026094d8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49e2f-6c2d-495a-be40-932eb31ab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967AF-04B5-461B-95DB-8150E0E57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D590F8-DC31-4832-992A-2716A5C70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4C0E5-8358-4713-8249-E1D26936F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8f742-ac96-4188-8f39-026094d8e259"/>
    <ds:schemaRef ds:uri="b3249e2f-6c2d-495a-be40-932eb31ab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 George Carter</dc:creator>
  <cp:keywords/>
  <dc:description/>
  <cp:lastModifiedBy>William Watson Doe</cp:lastModifiedBy>
  <cp:revision>5</cp:revision>
  <dcterms:created xsi:type="dcterms:W3CDTF">2020-08-16T13:30:00Z</dcterms:created>
  <dcterms:modified xsi:type="dcterms:W3CDTF">2020-08-16T13:37:00Z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0x0101002C631EF3FD5A4D4F80DA694727C6699E</vt:lpwstr>
  </property>
</Properties>
</file>